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Оренбургской области в 202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 году.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76" w:lineRule="atLeast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состоянию на 16 февраля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 года (опрос проводился с 15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15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 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 всего приняли участие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75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человек: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3127"/>
        <w:gridCol w:w="3108"/>
        <w:gridCol w:w="3110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Высокий уровень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74 чел.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1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9%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Средний уровень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  чел.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1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0 %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Низкий уровень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чел.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1" w:type="dxa"/>
            <w:textDirection w:val="lrTb"/>
            <w:noWrap w:val="false"/>
          </w:tcPr>
          <w:p>
            <w:pPr>
              <w:jc w:val="both"/>
              <w:spacing w:after="0" w:line="276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%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2024-02-16T04:49:49Z</dcterms:modified>
</cp:coreProperties>
</file>